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ind w:left="0" w:firstLine="0"/>
        <w:jc w:val="center"/>
        <w:rPr>
          <w:rFonts w:ascii="Raleway" w:cs="Raleway" w:eastAsia="Raleway" w:hAnsi="Raleway"/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color w:val="000000"/>
          <w:rtl w:val="0"/>
        </w:rPr>
        <w:t xml:space="preserve">Key Stage 4 - Year 10 PSHE</w:t>
      </w:r>
    </w:p>
    <w:tbl>
      <w:tblPr>
        <w:tblStyle w:val="Table1"/>
        <w:tblW w:w="154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"/>
        <w:gridCol w:w="1080"/>
        <w:gridCol w:w="2337.5000000000005"/>
        <w:gridCol w:w="2337.5000000000005"/>
        <w:gridCol w:w="2337.5000000000005"/>
        <w:gridCol w:w="2337.5000000000005"/>
        <w:gridCol w:w="2337.5000000000005"/>
        <w:gridCol w:w="2337.5000000000005"/>
        <w:tblGridChange w:id="0">
          <w:tblGrid>
            <w:gridCol w:w="300"/>
            <w:gridCol w:w="1080"/>
            <w:gridCol w:w="2337.5000000000005"/>
            <w:gridCol w:w="2337.5000000000005"/>
            <w:gridCol w:w="2337.5000000000005"/>
            <w:gridCol w:w="2337.5000000000005"/>
            <w:gridCol w:w="2337.5000000000005"/>
            <w:gridCol w:w="2337.5000000000005"/>
          </w:tblGrid>
        </w:tblGridChange>
      </w:tblGrid>
      <w:tr>
        <w:trPr>
          <w:cantSplit w:val="0"/>
          <w:tblHeader w:val="1"/>
        </w:trPr>
        <w:tc>
          <w:tcPr>
            <w:gridSpan w:val="2"/>
            <w:shd w:fill="0b5394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Autumn 1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Health and Wellbeing</w:t>
            </w:r>
          </w:p>
        </w:tc>
        <w:tc>
          <w:tcPr>
            <w:shd w:fill="0b5394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Living in the wider world</w:t>
            </w:r>
          </w:p>
        </w:tc>
        <w:tc>
          <w:tcPr>
            <w:shd w:fill="0b5394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Spring 1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Relationships</w:t>
            </w:r>
          </w:p>
        </w:tc>
        <w:tc>
          <w:tcPr>
            <w:shd w:fill="0b5394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Spring 2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Health and Wellbeing</w:t>
            </w:r>
          </w:p>
        </w:tc>
        <w:tc>
          <w:tcPr>
            <w:shd w:fill="0b5394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Summer 1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Relationships</w:t>
            </w:r>
          </w:p>
        </w:tc>
        <w:tc>
          <w:tcPr>
            <w:shd w:fill="0b5394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Summer 2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Living in the wider world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Learning outcomes/ composite knowledge: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Pupils will be able to…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Mental health </w:t>
            </w: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Mental health and ill health, stigma, safeguarding health, including during periods of transition or change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Financial decision making </w:t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The impact of financial decisions, debt, gambling and the impact of advertising on financial choices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Healthy relationships </w:t>
            </w: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Relationships and sex expectations, myths, pleasure and challenges, including the impact of the media and pornography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Exploring influence </w:t>
            </w: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The influence and impact of drugs, gangs, role models and the media 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Addressing extremism and radicalisation </w:t>
            </w: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Community cohesion and challenging extremism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Work experience </w:t>
            </w: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Preparation for and evaluation of work experience and readiness for work 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Knowledge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Components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Health and wellbeing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5"/>
              </w:numPr>
              <w:ind w:left="135" w:hanging="13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manage challenges during adolescence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5"/>
              </w:numPr>
              <w:ind w:left="135" w:hanging="13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reframe negative thinking 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5"/>
              </w:numPr>
              <w:ind w:left="135" w:hanging="13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strategies to promote mental health and emotional wellbeing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5"/>
              </w:numPr>
              <w:ind w:left="135" w:hanging="13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about the signs of emotional or mental ill-health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5"/>
              </w:numPr>
              <w:ind w:left="135" w:hanging="13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access support and treatment</w:t>
            </w:r>
          </w:p>
          <w:p w:rsidR="00000000" w:rsidDel="00000000" w:rsidP="00000000" w:rsidRDefault="00000000" w:rsidRPr="00000000" w14:paraId="00000024">
            <w:pPr>
              <w:widowControl w:val="0"/>
              <w:ind w:left="135" w:hanging="135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ind w:left="720" w:firstLine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ind w:left="720" w:firstLine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ind w:left="720" w:firstLine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ind w:left="0" w:firstLine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Relationships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ind w:left="708.6614173228347" w:firstLine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ind w:left="141.7322834645671" w:hanging="15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6"/>
              </w:numPr>
              <w:ind w:left="135" w:hanging="135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relationship values and the role of pleasure in relationships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6"/>
              </w:numPr>
              <w:ind w:left="135" w:hanging="135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about myths, assumptions, misconceptions and social norms about sex, gender and relationships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6"/>
              </w:numPr>
              <w:ind w:left="135" w:hanging="135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the opportunities and risks of forming and conducting relationships online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6"/>
              </w:numPr>
              <w:ind w:left="135" w:hanging="135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manage the impact of the media and pornography on sexual attitudes, expectations and behaviours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6"/>
              </w:numPr>
              <w:ind w:left="135" w:hanging="135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the ethical and legal implications in relation to consent, including manipulation, coercion, and capacity to consent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6"/>
              </w:numPr>
              <w:ind w:left="135" w:hanging="135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about asexuality, abstinence and celibacy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3"/>
              </w:numPr>
              <w:ind w:left="135" w:hanging="135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positive and negative role models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3"/>
              </w:numPr>
              <w:ind w:left="135" w:hanging="135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evaluate the influence of role models and become a positive role model for peers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3"/>
              </w:numPr>
              <w:ind w:left="135" w:hanging="135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about the media’s impact on perceptions of gang culture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3"/>
              </w:numPr>
              <w:ind w:left="135" w:hanging="135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about the impact of drugs and alcohol on individuals, personal safety, families and wider communities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3"/>
              </w:numPr>
              <w:ind w:left="135" w:hanging="135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drugs and alcohol affect decision making 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3"/>
              </w:numPr>
              <w:ind w:left="135" w:hanging="135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keep self and others safe in situations that involve substance use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3"/>
              </w:numPr>
              <w:ind w:left="135" w:hanging="135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manage peer influence in increasingly independent scenarios, in relation to substances, gangs and crime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1.7322834645671" w:right="0" w:hanging="141.7322834645671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Living in the wider world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8"/>
              </w:numPr>
              <w:ind w:left="135" w:hanging="13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the portrayal of mental health in the media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8"/>
              </w:numPr>
              <w:ind w:left="135" w:hanging="135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challenge stigma, stereotypes and misinformation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7"/>
              </w:numPr>
              <w:ind w:left="141.7322834645671" w:hanging="15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effectively budget and evaluate savings options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7"/>
              </w:numPr>
              <w:ind w:left="141.7322834645671" w:hanging="15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prevent and manage debt, including understanding credit rating and payday lending 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7"/>
              </w:numPr>
              <w:ind w:left="141.7322834645671" w:hanging="15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data is generated, collected and shared, and the influence of targeted advertising 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7"/>
              </w:numPr>
              <w:ind w:left="141.7322834645671" w:hanging="15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thinking errors, e.g. gambler’s fallacy, can increase susceptibility to gambling 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7"/>
              </w:numPr>
              <w:ind w:left="141.7322834645671" w:hanging="15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strategies for managing influences related to gambling, including online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7"/>
              </w:numPr>
              <w:ind w:left="141.7322834645671" w:hanging="15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about the relationship between gambling and debt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7"/>
              </w:numPr>
              <w:ind w:left="141.7322834645671" w:hanging="15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about the law and illegal financial activities, including fraud and cybercrime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7"/>
              </w:numPr>
              <w:ind w:left="141.7322834645671" w:hanging="15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manage risk in relation to financial activities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4"/>
              </w:numPr>
              <w:ind w:left="135" w:hanging="135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recognise and respond to pressure, coercion and exploitation, including reporting and accessing appropriate support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4"/>
              </w:numPr>
              <w:ind w:left="135" w:hanging="135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recognise and challenge victim blaming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1"/>
              </w:numPr>
              <w:ind w:left="135" w:hanging="135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exit strategies for pressurised or dangerous situations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"/>
              </w:numPr>
              <w:ind w:left="135" w:hanging="135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seek help for substance use and addiction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1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communities, inclusion, respect and belonging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1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about the Equality Act, diversity and values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about how social media may distort, mis-represent or target information in order to influence beliefs and opinions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1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manage conflicting views and misleading information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1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safely challenge discrimination, including online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recognise and respond to extremism and radicalisation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evaluate strengths and interests in relation to career development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1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about opportunities in learning and work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strategies for overcoming challenges or adversity 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1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responsibilities in the workplace 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how to manage practical problems and health and safety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1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maintain a positive personal presence online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"/>
              </w:numPr>
              <w:ind w:left="141.7322834645671" w:hanging="141.7322834645671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evaluate and build on the learning from work experience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National Curriculum reference </w:t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H2, H5, H6, H7, H8, H9, H10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H25, R38, L16, L17, L18, L19, L20, L25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R1, R2, R3, R6, R7, R8, R14, R15, R18, R19, R22, R28, R29, R30, R31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H19, H20, H21, R20, R35, R36, R37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about communities, inclusion, respect and belonging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about the Equality Act, diversity and values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about how social media may distort, mis-represent or target information in order to influence beliefs and opinions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manage conflicting views and misleading information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safely challenge discrimination, including online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how to recognise and respond to extremism and radicalisation </w:t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H1, L1, L2, L3, L5, L7, L8, L9 L10, L11, L12, L13, L14, L15, L23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Common misconceptions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These vary from pupil to pupil and their experience of PSHE at previous schools. Misconceptions will be addressed in lessons and through assessment.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850.3937007874016" w:top="850.3937007874016" w:left="850.3937007874016" w:right="850.39370078740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6257925</wp:posOffset>
          </wp:positionH>
          <wp:positionV relativeFrom="paragraph">
            <wp:posOffset>47625</wp:posOffset>
          </wp:positionV>
          <wp:extent cx="3162300" cy="571466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62300" cy="57146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-257174</wp:posOffset>
          </wp:positionV>
          <wp:extent cx="1441241" cy="486000"/>
          <wp:effectExtent b="0" l="0" r="0" t="0"/>
          <wp:wrapSquare wrapText="bothSides" distB="0" distT="0" distL="0" distR="0"/>
          <wp:docPr descr="\\sbbfile01\staffdata$\sroscoe\Documents\My Pictures\CoalCloughMaster_RGB (2) (567x189).jpg" id="1" name="image1.jpg"/>
          <a:graphic>
            <a:graphicData uri="http://schemas.openxmlformats.org/drawingml/2006/picture">
              <pic:pic>
                <pic:nvPicPr>
                  <pic:cNvPr descr="\\sbbfile01\staffdata$\sroscoe\Documents\My Pictures\CoalCloughMaster_RGB (2) (567x189)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1241" cy="486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08.6614173228347" w:hanging="283.46456692913426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08.6614173228347" w:hanging="283.46456692913426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120" w:lineRule="auto"/>
    </w:pPr>
    <w:rPr>
      <w:rFonts w:ascii="Calibri" w:cs="Calibri" w:eastAsia="Calibri" w:hAnsi="Calibri"/>
      <w:b w:val="1"/>
      <w:color w:val="ec008c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