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Key Stage 3 - Year 8 PSHE</w:t>
      </w:r>
    </w:p>
    <w:tbl>
      <w:tblPr>
        <w:tblStyle w:val="Table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1080"/>
        <w:gridCol w:w="2337.5000000000005"/>
        <w:gridCol w:w="2337.5000000000005"/>
        <w:gridCol w:w="2337.5000000000005"/>
        <w:gridCol w:w="2337.5000000000005"/>
        <w:gridCol w:w="2337.5000000000005"/>
        <w:gridCol w:w="2337.5000000000005"/>
        <w:tblGridChange w:id="0">
          <w:tblGrid>
            <w:gridCol w:w="300"/>
            <w:gridCol w:w="1080"/>
            <w:gridCol w:w="2337.5000000000005"/>
            <w:gridCol w:w="2337.5000000000005"/>
            <w:gridCol w:w="2337.5000000000005"/>
            <w:gridCol w:w="2337.5000000000005"/>
            <w:gridCol w:w="2337.5000000000005"/>
            <w:gridCol w:w="2337.500000000000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b539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Drugs and alcohol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Alcohol and drug misuse and pressures relating to drug use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Community and careers 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Equality of opportunity in careers and life choices, and different types and patterns of work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Discrimination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Discrimination in all its forms, including: racism, religious discrimination, disability, discrimination, sexism, homophobia, biphobia and transphobia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Emotional wellbeing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Mental health and emotional wellbeing, including body image and coping strategies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Identity and relationships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Gender identity, sexual orientation, consent, ‘sexting’, and an introduction to contraception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Online safety, digital literacy, media reliability, and gambling hooks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medicinal and recreational drugs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over-consumption of energy drinks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relationship between habit and dependence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use over the counter and prescription medications safely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assess the risks of alcohol, tobacco, nicotine and e-cigarettes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recognise and promote positive social norms and attitudes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develop self-worth and confidence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attitudes towards mental health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challenge myths and stigma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daily wellbeing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emotions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develop digital resilience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unhealthy coping strategies (e.g. self harm and eating disorders)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healthy coping strategies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ind w:left="72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ind w:left="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7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influences in relation to substance 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influences on beliefs and decisions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group-think and persuasion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gender identity, transphobia and gender-based discrimination</w:t>
            </w:r>
          </w:p>
          <w:p w:rsidR="00000000" w:rsidDel="00000000" w:rsidP="00000000" w:rsidRDefault="00000000" w:rsidRPr="00000000" w14:paraId="0000003A">
            <w:pPr>
              <w:widowControl w:val="0"/>
              <w:ind w:left="720" w:firstLine="0"/>
              <w:rPr>
                <w:rFonts w:ascii="Raleway" w:cs="Raleway" w:eastAsia="Raleway" w:hAnsi="Raleway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 qualities of positive, healthy relationships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demonstrate positive behaviours in healthy relationships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gender identity and sexual orientation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forming new partnerships and developing relationships</w:t>
            </w:r>
          </w:p>
          <w:p w:rsidR="00000000" w:rsidDel="00000000" w:rsidP="00000000" w:rsidRDefault="00000000" w:rsidRPr="00000000" w14:paraId="00000040">
            <w:pPr>
              <w:widowControl w:val="0"/>
              <w:ind w:left="72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law in relation to consent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effectively communicate about consent in relationships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risks of ‘sexting’ and how to manage requests or pressure to send an image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basic forms of contraception, e.g. condom and pill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Living in the wider world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ind w:left="708.6614173228347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equality of opportunity in life and work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challenge stereotypes and discrimination in relation to work and pay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employment, self-employment and voluntary work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set aspirational goals for future careers and challenge expectations that limit choices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and challenge homophobia and biphobia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and challenge racism and religious discrimination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that the legal and moral duty is with the seeker of consent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online communication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use social networking sites safely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recognise online grooming in different forms, e.g. in relation to sexual or financial exploitation, extremism and radicalisation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respond and seek support in cases of online grooming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biased or misleading information online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critically assess different media sources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distinguish between content which is publicly and privately shared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age restrictions when accessing different forms of media and how to make responsible decisions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protect financial security online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assess and manage risks in relation to gambling and chance-based transactions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H23, H24, H25, H26, H27, H29, H31, H5, R42, R44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R39, R41, L3, L8, L9, L10, L11, L12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R39, R40, R41, R3, R4, R42, R43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H3, H4, H6, H7, H8, H9, H10, H11, H12, L24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H35, H36, R4, R5, R10, R16, R18, R24, R25, R26, R27, R29, R30, R32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H3, H30, H32, R17, L19, L20, L21, L22, L23, L24, L25, L26, L27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These vary from pupil to pupil and their experience of PSHE at previous schools. Misconceptions will be addressed in lessons and through assessment.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6257925</wp:posOffset>
          </wp:positionH>
          <wp:positionV relativeFrom="paragraph">
            <wp:posOffset>47625</wp:posOffset>
          </wp:positionV>
          <wp:extent cx="3162300" cy="571466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46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-257174</wp:posOffset>
          </wp:positionV>
          <wp:extent cx="1441241" cy="486000"/>
          <wp:effectExtent b="0" l="0" r="0" t="0"/>
          <wp:wrapSquare wrapText="bothSides" distB="0" distT="0" distL="0" distR="0"/>
          <wp:docPr descr="\\sbbfile01\staffdata$\sroscoe\Documents\My Pictures\CoalCloughMaster_RGB (2) (567x189).jpg" id="2" name="image1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