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51" w:rsidRPr="000B4434" w:rsidRDefault="000B4434" w:rsidP="000B4434">
      <w:pPr>
        <w:pStyle w:val="Heading2"/>
        <w:ind w:left="720" w:firstLine="720"/>
        <w:rPr>
          <w:rFonts w:ascii="Arial" w:hAnsi="Arial" w:cs="Arial"/>
          <w:color w:val="000000"/>
          <w:sz w:val="22"/>
          <w:u w:val="single"/>
        </w:rPr>
      </w:pPr>
      <w:r w:rsidRPr="000B4434">
        <w:rPr>
          <w:rFonts w:ascii="Arial" w:hAnsi="Arial" w:cs="Arial"/>
          <w:noProof/>
          <w:color w:val="000000"/>
          <w:sz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ge">
              <wp:posOffset>507206</wp:posOffset>
            </wp:positionV>
            <wp:extent cx="2078355" cy="77851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29 at 09.51.0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434">
        <w:rPr>
          <w:rFonts w:ascii="Arial" w:hAnsi="Arial" w:cs="Arial"/>
          <w:color w:val="000000"/>
          <w:sz w:val="22"/>
          <w:u w:val="single"/>
        </w:rPr>
        <w:t>NCFE Level 1 Certificate in Wellbeing Curriculum Map</w:t>
      </w:r>
    </w:p>
    <w:p w:rsidR="00663B51" w:rsidRDefault="00663B51"/>
    <w:tbl>
      <w:tblPr>
        <w:tblStyle w:val="a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290"/>
        <w:gridCol w:w="2325"/>
        <w:gridCol w:w="2475"/>
        <w:gridCol w:w="2520"/>
        <w:gridCol w:w="2520"/>
        <w:gridCol w:w="2535"/>
      </w:tblGrid>
      <w:tr w:rsidR="00663B51" w:rsidTr="000B4434">
        <w:trPr>
          <w:tblHeader/>
        </w:trPr>
        <w:tc>
          <w:tcPr>
            <w:tcW w:w="1845" w:type="dxa"/>
            <w:gridSpan w:val="2"/>
            <w:shd w:val="clear" w:color="auto" w:fill="auto"/>
            <w:vAlign w:val="center"/>
          </w:tcPr>
          <w:p w:rsidR="00663B51" w:rsidRDefault="00663B51" w:rsidP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  <w:shd w:val="clear" w:color="auto" w:fill="1F3864" w:themeFill="accent1" w:themeFillShade="80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Autumn 1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Personal Safety</w:t>
            </w:r>
          </w:p>
        </w:tc>
        <w:tc>
          <w:tcPr>
            <w:tcW w:w="2475" w:type="dxa"/>
            <w:shd w:val="clear" w:color="auto" w:fill="1F3864" w:themeFill="accent1" w:themeFillShade="80"/>
            <w:vAlign w:val="center"/>
          </w:tcPr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Autumn 2</w:t>
            </w:r>
          </w:p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Healthy Eating</w:t>
            </w:r>
          </w:p>
        </w:tc>
        <w:tc>
          <w:tcPr>
            <w:tcW w:w="2520" w:type="dxa"/>
            <w:shd w:val="clear" w:color="auto" w:fill="1F3864" w:themeFill="accent1" w:themeFillShade="80"/>
            <w:vAlign w:val="center"/>
          </w:tcPr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Spring 1</w:t>
            </w:r>
          </w:p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Substance Misuse</w:t>
            </w:r>
          </w:p>
        </w:tc>
        <w:tc>
          <w:tcPr>
            <w:tcW w:w="2520" w:type="dxa"/>
            <w:shd w:val="clear" w:color="auto" w:fill="1F3864" w:themeFill="accent1" w:themeFillShade="80"/>
            <w:vAlign w:val="center"/>
          </w:tcPr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Spring 2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Alcohol Awareness</w:t>
            </w:r>
          </w:p>
        </w:tc>
        <w:tc>
          <w:tcPr>
            <w:tcW w:w="2535" w:type="dxa"/>
            <w:shd w:val="clear" w:color="auto" w:fill="1F3864" w:themeFill="accent1" w:themeFillShade="80"/>
            <w:vAlign w:val="center"/>
          </w:tcPr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>Summer 1</w:t>
            </w:r>
          </w:p>
          <w:p w:rsidR="00663B51" w:rsidRPr="000B4434" w:rsidRDefault="000B4434">
            <w:pPr>
              <w:spacing w:before="40" w:after="40" w:line="259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4"/>
              </w:rPr>
            </w:pPr>
            <w:r w:rsidRPr="000B4434">
              <w:rPr>
                <w:rFonts w:ascii="Arial" w:eastAsia="Calibri" w:hAnsi="Arial" w:cs="Arial"/>
                <w:b/>
                <w:color w:val="FFFFFF"/>
                <w:sz w:val="16"/>
                <w:szCs w:val="14"/>
              </w:rPr>
              <w:t xml:space="preserve">Stress Management </w:t>
            </w:r>
          </w:p>
        </w:tc>
      </w:tr>
      <w:tr w:rsidR="00663B51" w:rsidRPr="000B4434" w:rsidTr="000B4434">
        <w:tc>
          <w:tcPr>
            <w:tcW w:w="1845" w:type="dxa"/>
            <w:gridSpan w:val="2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Learning outcomes/ composite knowledge: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Pupils will be able to…</w:t>
            </w:r>
          </w:p>
        </w:tc>
        <w:tc>
          <w:tcPr>
            <w:tcW w:w="232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To develop an awareness of personal safety, to understand risks and individual may encounter and how to resolve conflict </w:t>
            </w:r>
          </w:p>
        </w:tc>
        <w:tc>
          <w:tcPr>
            <w:tcW w:w="247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45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To develop an understanding of what a healthy, balanced diet looks like and learn the associated health benefits from eating/drinking well 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Students will learn the indicators of substance misuse support pathways and address stereotypes around substance mis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use 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To develop an understanding of the harmful psychological and physiological effects of alcohol abuse, associated health implications and the support routes available </w:t>
            </w:r>
          </w:p>
        </w:tc>
        <w:tc>
          <w:tcPr>
            <w:tcW w:w="253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To learn about the positive and negative symptoms of stress, strategies for supporting stress and the associated health implications 1</w:t>
            </w:r>
          </w:p>
        </w:tc>
      </w:tr>
      <w:tr w:rsidR="00663B51" w:rsidRPr="000B4434" w:rsidTr="000B4434">
        <w:trPr>
          <w:trHeight w:val="2854"/>
        </w:trPr>
        <w:tc>
          <w:tcPr>
            <w:tcW w:w="555" w:type="dxa"/>
            <w:vMerge w:val="restart"/>
            <w:shd w:val="clear" w:color="auto" w:fill="auto"/>
            <w:textDirection w:val="tbRl"/>
            <w:vAlign w:val="center"/>
          </w:tcPr>
          <w:p w:rsidR="00663B51" w:rsidRPr="000B4434" w:rsidRDefault="000B4434" w:rsidP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ind w:left="113" w:right="113"/>
              <w:jc w:val="center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Knowledge Components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Declarative knowledge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(know what)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personal experience, background and media exposure can impact individuals fear of crime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what government initiatives are currently active to reduce fear of crime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what initiatives my community has to reduce fear of crime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how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situations and actions can increase or decrease personal safety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to minimise risk to my personal safety and possessions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strategies to diffuse conflict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how to report and record incidents in school, the community and my personal l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ife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learning from experience can improve my personal safety 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475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what is meant by a balanced diet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health effects of not eating a balanced diet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ways that food can contribute to keeping healthy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recommended daily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fluid intake to stay healthy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dehydration can negatively impact the health and wellbeing of an individual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dehydration affects the brain 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why individuals use substances, including factors from a person's background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diff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erence between legal, Class A, Class B and Class C substances and know examples of each 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difference between stimulant, depressant and hallucinogenic substances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signs and symptoms which may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indicate  substance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harm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ful effects of substance misuse on individuals and society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where individuals can access support and advice for substance misuse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impact of stereotyping individuals who misuse substances 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how media reporting can affect people's perceptions of substance misuse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society can respond to substance misuse 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unit strength of 4 different alcoholic drinks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suggested daily/weekly unit intake for men and women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now reasons why individuals may misuse alcohol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difference between psychological and physical effects of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alcohol misuse can affect family, friends and society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how alcohol misuse can impact nutrition, the liver, the heart, mental health and sexual health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effects of withdrawing from alcohol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where individuals can access support for alcohol abuse 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53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purpose of stress on the bod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y and how it can be useful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harmful short term and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long term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effects of stress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different causes of stress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why stress can vary between different people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symptoms of stress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how stress changes behaviour (positivel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y and negatively)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the difference between helpful and harmful strategies to cope with stress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know the benefits of using healthy strategies to support with stress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know how to get support for myself or others who are experiencing stress</w:t>
            </w:r>
          </w:p>
        </w:tc>
      </w:tr>
      <w:tr w:rsidR="00663B51" w:rsidRPr="000B4434" w:rsidTr="000B4434">
        <w:tc>
          <w:tcPr>
            <w:tcW w:w="555" w:type="dxa"/>
            <w:vMerge/>
            <w:shd w:val="clear" w:color="auto" w:fill="auto"/>
            <w:vAlign w:val="center"/>
          </w:tcPr>
          <w:p w:rsidR="00663B51" w:rsidRPr="000B4434" w:rsidRDefault="0066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Procedural knowledge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(know how)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explain reasons why fear of crime varies for different individuals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read statistics from bar charts, pie charts and graphs relating to local and national crime statistics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identify situations and acti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ons which put personal safety and possessions at risk in a range of different circumstances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actions to minimise risk to my personal safety and personal possessions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demonstrate conflict resolution skills and outline techniques to reduc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e conflict in a range of scenarios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responses to conflict that may escalate a situation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explain different processes to report incidents depending on the severity, situation and environment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where to seek support in school if I have concerns/questions about personal safety and crime </w:t>
            </w:r>
          </w:p>
        </w:tc>
        <w:tc>
          <w:tcPr>
            <w:tcW w:w="2475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describe ways to inform individuals to eat a balanced diet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explain how the Eatwell model and traffic light nutritional information can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support individuals to make healthy choices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create a balanced meal plan using my knowledge of food groups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outline ways that individuals can drink enough to stay healthy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the signs and symptoms of not drinking enough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embe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 healthy eating and drinking strategies into my own life to maintain my health and wellbeing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where to seek support in school if I have concerns/questions about my diet and health 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understand how upbringing, mental health, environment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and trauma can trigger a person to use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categorise a range of substances which are misused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outline how some signs and symptoms of substance misuse may be misleading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explain the consequence of misusing substances and how this can impact individuals, their family/friends and society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local and national services which can help with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identify apps, helplines and support groups f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or individuals needing help with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where to seek support in school if I have concerns/questions about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empathetically understand the impact of negative stereotyping on individuals who misuse substances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name different media sources and explain how these contribute to people’s perceptions of substance misuse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different sources to gain insight into the extent of substance misuse in society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differentiate between how society can r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espond to substance misuse in terms of education, treatment, control and policy </w:t>
            </w:r>
          </w:p>
        </w:tc>
        <w:tc>
          <w:tcPr>
            <w:tcW w:w="2520" w:type="dxa"/>
          </w:tcPr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explain how the signs and symptoms of alcohol consumption can vary depending on weight, age or medical condition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describe how background, medical history, mental health and environment may impact a person's alcohol consumption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determine the short term and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long term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psychological side effects of alcohol misuse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determine the short term and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long te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rm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physical side effects of substance misuse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explain  how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alcohol misuse affects individuals differently in relation to family, friends and society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describe ways alcohol misuse can affect the major organs in the body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identify early s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ymptoms of alcohol withdrawal, and differentiate these between short term and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long term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alcohol consumption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local and national services which can help with substance misuse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identify where to seek support in school if I have concern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s/questions about alcohol misuse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apps, helplines and support groups for individuals needing help with alcohol misuse </w:t>
            </w:r>
          </w:p>
        </w:tc>
        <w:tc>
          <w:tcPr>
            <w:tcW w:w="253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the different types of stress and recognise situations for myself and others where these are applicable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can recognise early and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long term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symptoms of stress in myself and others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triggers of stress in my own life and for others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understand that stress is different for everybody and that each individual person needs a different level of support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outline different ways that people respond to stress, </w:t>
            </w:r>
            <w:proofErr w:type="gramStart"/>
            <w:r w:rsidRPr="000B4434">
              <w:rPr>
                <w:rFonts w:ascii="Arial" w:eastAsia="Calibri" w:hAnsi="Arial" w:cs="Arial"/>
                <w:sz w:val="14"/>
                <w:szCs w:val="14"/>
              </w:rPr>
              <w:t>making reference</w:t>
            </w:r>
            <w:proofErr w:type="gramEnd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to emotion, behaviour and physical health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identif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y harmful ways to respond to stress and recognise this in myself and others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helpful ways to respond to my own stress and the stress of those around 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describe early warning signs of stress in myself and others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 can apply the fight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, flight, freeze model to situations around 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 can identify where to seek support in school if I have concerns/questions about stress and mental health </w:t>
            </w: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663B51" w:rsidRPr="000B4434" w:rsidTr="000B4434">
        <w:tc>
          <w:tcPr>
            <w:tcW w:w="1845" w:type="dxa"/>
            <w:gridSpan w:val="2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lastRenderedPageBreak/>
              <w:t xml:space="preserve">National Curriculum reference 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Links to PSHE curriculum: health and safety, crime and punishment, drugs and alcohol, racism, homophobia, mental health and wellbeing, relationships, democracy and law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This unit is from the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NCFE Level 1 certificate in Wellbeing</w:t>
            </w:r>
          </w:p>
        </w:tc>
        <w:tc>
          <w:tcPr>
            <w:tcW w:w="247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Links to PSHE curriculum:  healthy lifestyles, good and nutrition, keeping myself healthy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This unit is from the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NCFE Level 1 certificate in Wellbeing</w:t>
            </w:r>
          </w:p>
        </w:tc>
        <w:tc>
          <w:tcPr>
            <w:tcW w:w="2520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Links to PSHE curriculum: prejudice and discrimination, health and puberty, drugs and alcohol, mental he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alth and wellbeing, employability, relationships, British values.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This unit is from the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NCFE Level 1 certificate in Wellbeing</w:t>
            </w:r>
          </w:p>
        </w:tc>
        <w:tc>
          <w:tcPr>
            <w:tcW w:w="2520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Links to PSHE curriculum: bullying, prejudice and discrimination, health and puberty, drugs and alcohol, sexual health, mental h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ealth and wellbeing, employability, relationships.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This unit is from the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NCFE Level 1 certificate in Wellbeing</w:t>
            </w:r>
          </w:p>
        </w:tc>
        <w:tc>
          <w:tcPr>
            <w:tcW w:w="2535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Links to PSHE curriculum: mental health and wellbeing, relationships, bullying and cyberbullying, health and puberty, sexual health, employabil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ity,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This unit is from the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NCFE Level 1 certificate in Wellbeing</w:t>
            </w:r>
          </w:p>
        </w:tc>
      </w:tr>
      <w:tr w:rsidR="00663B51" w:rsidRPr="000B4434" w:rsidTr="000B4434">
        <w:tc>
          <w:tcPr>
            <w:tcW w:w="1845" w:type="dxa"/>
            <w:gridSpan w:val="2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Common misconceptions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2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You have to be careless to be victim of crime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Only poor people or people from disadvantaged areas </w:t>
            </w:r>
            <w:bookmarkStart w:id="0" w:name="_GoBack"/>
            <w:bookmarkEnd w:id="0"/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get involved in crime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It is not my responsibility to report a crime if it’s nothing to do with me </w:t>
            </w:r>
          </w:p>
        </w:tc>
        <w:tc>
          <w:tcPr>
            <w:tcW w:w="2475" w:type="dxa"/>
          </w:tcPr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Only girls get eating disorders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You can only eat salad to be healthy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  <w:p w:rsidR="00663B51" w:rsidRPr="000B4434" w:rsidRDefault="000B4434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You only need to eat healthy if you are overweight </w:t>
            </w:r>
          </w:p>
          <w:p w:rsidR="00663B51" w:rsidRPr="000B4434" w:rsidRDefault="00663B5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Caffeine and food are not substances which can be misus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>ed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People using substances are dangerous criminals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You won’t get into real trouble if you are caught with substances</w:t>
            </w:r>
          </w:p>
        </w:tc>
        <w:tc>
          <w:tcPr>
            <w:tcW w:w="2520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Alcoholics can never recover and never get back into work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It is obvious when somebody is misusing alcohol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You can only drink alcohol from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the age of 18 </w:t>
            </w:r>
          </w:p>
        </w:tc>
        <w:tc>
          <w:tcPr>
            <w:tcW w:w="253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Stress is only bad for the body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Only people in high powered jobs can get stressed at work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It is weak to show signs of stress</w:t>
            </w:r>
          </w:p>
        </w:tc>
      </w:tr>
      <w:tr w:rsidR="00663B51" w:rsidRPr="000B4434" w:rsidTr="000B4434">
        <w:tc>
          <w:tcPr>
            <w:tcW w:w="1845" w:type="dxa"/>
            <w:gridSpan w:val="2"/>
            <w:shd w:val="clear" w:color="auto" w:fill="auto"/>
            <w:vAlign w:val="center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color w:val="000000"/>
                <w:sz w:val="14"/>
                <w:szCs w:val="14"/>
              </w:rPr>
              <w:t>Exemplar Composite Task(s)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bookmarkStart w:id="1" w:name="_heading=h.gjdgxs" w:colFirst="0" w:colLast="0"/>
            <w:bookmarkEnd w:id="1"/>
          </w:p>
        </w:tc>
        <w:tc>
          <w:tcPr>
            <w:tcW w:w="2325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Starter: Vocabulary check - choose the correct definition of the key vocabulary from the two options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Task: Annotate the scenario with techniques which can be used to resolve conflict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Create a report which identifies government and community actions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which may reduce the fear of crime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Plenary: Watch a hazard perception video and identify risks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Deepening knowledge: Create a storyboard for a new advert for television, outlining a possible risk, the consequence and steps to reduce this from happening.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Research relevant statistics and write a narration for the advert. </w:t>
            </w:r>
          </w:p>
        </w:tc>
        <w:tc>
          <w:tcPr>
            <w:tcW w:w="2475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Starter: Organise foods into hydrating and non-hydrating foods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Read/watch the scenarios and complete the worksheet giving examples of the signs and symptoms of not drinking enough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Task: Create an information booklet outlining what is meant by a balanced diet and ways individuals can maintain a balanced diet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Plenary: Quiz placing foods into their correct food groups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Deepening knowledge: Redesign an unbalanced breakfast, dinner and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tea meal plan using your knowledge of healthy eating, the Eatwell model, nutrition and food groups. </w:t>
            </w:r>
          </w:p>
        </w:tc>
        <w:tc>
          <w:tcPr>
            <w:tcW w:w="2520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Starter: Crossword challenge using key vocabulary and definitions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</w:t>
            </w:r>
            <w:r>
              <w:rPr>
                <w:rFonts w:ascii="Arial" w:eastAsia="Calibri" w:hAnsi="Arial" w:cs="Arial"/>
                <w:sz w:val="14"/>
                <w:szCs w:val="14"/>
              </w:rPr>
              <w:t>: Q&amp;A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/discussion around how stereotyping can affect substance misusers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Annotate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the news articles to outline how media reporting affects people's perceptions of substance misuse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Plenary: Revisit word map and purple pen additional learning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Deepening knowledge: Write a detailed letter as the local MP, informing local residents about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the problems relating to substance misuse in their local community. Give suggestions on how you will respond and what positive effect this will have on individuals. </w:t>
            </w:r>
          </w:p>
        </w:tc>
        <w:tc>
          <w:tcPr>
            <w:tcW w:w="2520" w:type="dxa"/>
          </w:tcPr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Starter: Watch the video on the side effects of alcohol consumption and fill in the missin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g gaps on the worksheet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Label the strength of alcoholic drinks by obtaining information from the drink’s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bottles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Create a poster or give a written answer listing way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in which alcohol misuse can impact health, giving examples for the heart, li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ver, nutrition, sexual health and mental health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Plenary: Kahoot quiz identifying differences between psychological and physical side effects </w:t>
            </w:r>
          </w:p>
          <w:p w:rsidR="00663B51" w:rsidRPr="000B4434" w:rsidRDefault="000B4434">
            <w:pP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Deepening knowledge: Describe the symptoms of alcohol withdrawal by putting them into chronological order: stage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1, stage 2 and stage 3 </w:t>
            </w:r>
          </w:p>
        </w:tc>
        <w:tc>
          <w:tcPr>
            <w:tcW w:w="2535" w:type="dxa"/>
          </w:tcPr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Starter: Keywords starter challenge 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On the ‘stressor scale’ worksheet, add examples of situations that trigger your own stress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Task: Design a leaflet to advise when people may need additional support for stress management and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 where they could go for support and advice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>Plenary: Discussion/Q&amp;A about how stress is displayed for different people (using video clips)</w:t>
            </w:r>
          </w:p>
          <w:p w:rsidR="00663B51" w:rsidRPr="000B4434" w:rsidRDefault="000B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Deepening knowledge: Create a poster for a school setting about the flight, fight, freeze response, with examples of </w:t>
            </w:r>
            <w:r w:rsidRPr="000B4434">
              <w:rPr>
                <w:rFonts w:ascii="Arial" w:eastAsia="Calibri" w:hAnsi="Arial" w:cs="Arial"/>
                <w:sz w:val="14"/>
                <w:szCs w:val="14"/>
              </w:rPr>
              <w:t xml:space="preserve">how this changes behaviour. Make links to key vocabulary: functioning, hypothalamus and cortisol. </w:t>
            </w:r>
          </w:p>
          <w:p w:rsidR="00663B51" w:rsidRPr="000B4434" w:rsidRDefault="0066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663B51" w:rsidRPr="000B4434" w:rsidRDefault="00663B51">
      <w:pPr>
        <w:rPr>
          <w:rFonts w:ascii="Arial" w:hAnsi="Arial" w:cs="Arial"/>
        </w:rPr>
      </w:pPr>
    </w:p>
    <w:sectPr w:rsidR="00663B51" w:rsidRPr="000B443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BAA"/>
    <w:multiLevelType w:val="multilevel"/>
    <w:tmpl w:val="3A00664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1"/>
    <w:rsid w:val="000B4434"/>
    <w:rsid w:val="005F15FD"/>
    <w:rsid w:val="006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2BF4"/>
  <w15:docId w15:val="{69BCCF3D-F849-ED42-B553-CD9B380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95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95F"/>
    <w:pPr>
      <w:keepNext/>
      <w:keepLines/>
      <w:spacing w:before="120" w:after="60"/>
      <w:outlineLvl w:val="1"/>
    </w:pPr>
    <w:rPr>
      <w:rFonts w:eastAsiaTheme="majorEastAsia" w:cstheme="majorBidi"/>
      <w:b/>
      <w:color w:val="EC008C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9195F"/>
    <w:rPr>
      <w:rFonts w:ascii="Calibri" w:eastAsiaTheme="majorEastAsia" w:hAnsi="Calibri" w:cstheme="majorBidi"/>
      <w:b/>
      <w:color w:val="EC008C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95F"/>
    <w:pPr>
      <w:numPr>
        <w:numId w:val="1"/>
      </w:numPr>
      <w:ind w:left="357" w:hanging="357"/>
      <w:contextualSpacing/>
    </w:pPr>
  </w:style>
  <w:style w:type="table" w:styleId="TableGrid">
    <w:name w:val="Table Grid"/>
    <w:basedOn w:val="TableNormal"/>
    <w:uiPriority w:val="59"/>
    <w:rsid w:val="0059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59195F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XqajNDmbk/8CZtfjSEKI7f+cA==">CgMxLjAyCGguZ2pkZ3hzOAByITFGM2tROEtfVG0tUFQ4bUlEaGU1UFdDTG9FeDBkT0dxdQ==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Crum</dc:creator>
  <cp:lastModifiedBy>Microsoft Office User</cp:lastModifiedBy>
  <cp:revision>3</cp:revision>
  <dcterms:created xsi:type="dcterms:W3CDTF">2023-11-30T17:11:00Z</dcterms:created>
  <dcterms:modified xsi:type="dcterms:W3CDTF">2023-11-30T17:17:00Z</dcterms:modified>
</cp:coreProperties>
</file>